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78" w:lineRule="exact"/>
        <w:ind w:right="0" w:firstLine="883" w:firstLineChars="200"/>
        <w:jc w:val="center"/>
        <w:textAlignment w:val="auto"/>
        <w:outlineLvl w:val="9"/>
        <w:rPr>
          <w:rFonts w:hint="eastAsia" w:ascii="方正小标宋简体" w:hAnsi="方正小标宋简体" w:eastAsia="方正小标宋简体" w:cs="方正小标宋简体"/>
          <w:b/>
          <w:i w:val="0"/>
          <w:caps w:val="0"/>
          <w:color w:val="333333"/>
          <w:spacing w:val="0"/>
          <w:sz w:val="44"/>
          <w:szCs w:val="44"/>
          <w:u w:val="none"/>
        </w:rPr>
      </w:pPr>
      <w:r>
        <w:rPr>
          <w:rFonts w:hint="eastAsia" w:ascii="方正小标宋简体" w:hAnsi="方正小标宋简体" w:eastAsia="方正小标宋简体" w:cs="方正小标宋简体"/>
          <w:b/>
          <w:i w:val="0"/>
          <w:caps w:val="0"/>
          <w:color w:val="333333"/>
          <w:spacing w:val="0"/>
          <w:sz w:val="44"/>
          <w:szCs w:val="44"/>
          <w:u w:val="none"/>
        </w:rPr>
        <w:t>中共中央办公厅 国务院办公厅印发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78" w:lineRule="exact"/>
        <w:ind w:right="0" w:firstLine="803" w:firstLineChars="200"/>
        <w:jc w:val="center"/>
        <w:textAlignment w:val="auto"/>
        <w:outlineLvl w:val="9"/>
        <w:rPr>
          <w:rFonts w:hint="eastAsia" w:ascii="方正小标宋简体" w:hAnsi="方正小标宋简体" w:eastAsia="方正小标宋简体" w:cs="方正小标宋简体"/>
          <w:i w:val="0"/>
          <w:caps w:val="0"/>
          <w:color w:val="000000" w:themeColor="text1"/>
          <w:spacing w:val="-20"/>
          <w:sz w:val="44"/>
          <w:szCs w:val="44"/>
          <w:u w:val="none"/>
          <w14:textFill>
            <w14:solidFill>
              <w14:schemeClr w14:val="tx1"/>
            </w14:solidFill>
          </w14:textFill>
        </w:rPr>
      </w:pPr>
      <w:r>
        <w:rPr>
          <w:rFonts w:hint="eastAsia" w:ascii="方正小标宋简体" w:hAnsi="方正小标宋简体" w:eastAsia="方正小标宋简体" w:cs="方正小标宋简体"/>
          <w:b/>
          <w:i w:val="0"/>
          <w:caps w:val="0"/>
          <w:color w:val="333333"/>
          <w:spacing w:val="-20"/>
          <w:sz w:val="44"/>
          <w:szCs w:val="44"/>
          <w:u w:val="none"/>
        </w:rPr>
        <w:t>《</w:t>
      </w:r>
      <w:bookmarkStart w:id="0" w:name="_GoBack"/>
      <w:r>
        <w:rPr>
          <w:rFonts w:hint="eastAsia" w:ascii="方正小标宋简体" w:hAnsi="方正小标宋简体" w:eastAsia="方正小标宋简体" w:cs="方正小标宋简体"/>
          <w:b/>
          <w:i w:val="0"/>
          <w:caps w:val="0"/>
          <w:color w:val="333333"/>
          <w:spacing w:val="-20"/>
          <w:sz w:val="44"/>
          <w:szCs w:val="44"/>
          <w:u w:val="none"/>
        </w:rPr>
        <w:t>关于进一步加强科研诚信建设的若干意见</w:t>
      </w:r>
      <w:bookmarkEnd w:id="0"/>
      <w:r>
        <w:rPr>
          <w:rFonts w:hint="eastAsia" w:ascii="方正小标宋简体" w:hAnsi="方正小标宋简体" w:eastAsia="方正小标宋简体" w:cs="方正小标宋简体"/>
          <w:b/>
          <w:i w:val="0"/>
          <w:caps w:val="0"/>
          <w:color w:val="333333"/>
          <w:spacing w:val="-20"/>
          <w:sz w:val="44"/>
          <w:szCs w:val="44"/>
          <w:u w:val="no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right="0" w:firstLine="640" w:firstLineChars="20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right="0" w:firstLine="640" w:firstLineChars="20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——明确责任，协调有序。加强顶层设计、统筹协调，明确科研诚信建设各主体职责，加强部门沟通、协同、联动，形成全社会推进科研诚信建设合力。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——系统推进，重点突破。构建符合科研规律、适应建设世界科技强国要求的科研诚信体系。坚持问题导向，重点在实践养成、调查处理等方面实现突破，在提高诚信意识、优化科研环境等方面取得实效。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——激励创新，宽容失败。充分尊重科学研究灵感瞬间性、方式多样性、路径不确定性的特点，重视科研试错探索的价值，建立鼓励创新、宽容失败的容错纠错机制，形成敢为人先、勇于探索的科研氛围。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二、完善科研诚信管理工作机制和责任体系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从事科技评估、科技咨询、科技成果转化、科技企业孵化和科研经费审计等的科技中介服务机构要严格遵守行业规范，强化诚信管理，自觉接受监督。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三、加强科研活动全流程诚信管理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四、进一步推进科研诚信制度化建设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五、切实加强科研诚信的教育和宣传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科技计划管理部门、项目管理专业机构以及项目承担单位，应当结合科技计划组织实施的特点，对承担或参与科技计划项目的科研人员有效开展科研诚信教育。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六、严肃查处严重违背科研诚信要求的行为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对包庇、纵容甚至骗取各类财政资助项目或奖励的单位，有关主管部门要给予约谈主要负责人、停拨或核减经费、记入科研诚信严重失信行为数据库、移送司法机关等处理。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七、加快推进科研诚信信息化建设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（二十四）加强科研诚信信息共享应用。逐步推动科研诚信信息系统与全国信用信息共享平台、地方科研诚信信息系统互联互通，分阶段分权限实现信息共享，为实现跨部门跨地区联合惩戒提供支撑。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b/>
          <w:i w:val="0"/>
          <w:caps w:val="0"/>
          <w:color w:val="000000" w:themeColor="text1"/>
          <w:spacing w:val="0"/>
          <w:sz w:val="32"/>
          <w:szCs w:val="32"/>
          <w:u w:val="none"/>
          <w14:textFill>
            <w14:solidFill>
              <w14:schemeClr w14:val="tx1"/>
            </w14:solidFill>
          </w14:textFill>
        </w:rPr>
        <w:t>八、保障措施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9" w:lineRule="atLeast"/>
        <w:ind w:left="0" w:right="0" w:firstLine="0"/>
        <w:jc w:val="both"/>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（二十八）积极开展国际交流合作。积极开展与相关国家、国际组织等的交流合作，加强对科技发展带来的科研诚信建设新情况新问题研究，共同完善国际科研规范，有效应对跨国跨地区科研诚信案件。</w:t>
      </w:r>
    </w:p>
    <w:p>
      <w:pPr>
        <w:pStyle w:val="2"/>
        <w:keepNext w:val="0"/>
        <w:keepLines w:val="0"/>
        <w:widowControl/>
        <w:suppressLineNumbers w:val="0"/>
        <w:spacing w:before="0" w:beforeAutospacing="0" w:after="0" w:afterAutospacing="0" w:line="289" w:lineRule="atLeast"/>
        <w:ind w:left="0" w:right="0" w:firstLine="0"/>
        <w:jc w:val="left"/>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 </w:t>
      </w:r>
    </w:p>
    <w:p>
      <w:pPr>
        <w:pStyle w:val="2"/>
        <w:keepNext w:val="0"/>
        <w:keepLines w:val="0"/>
        <w:widowControl/>
        <w:suppressLineNumbers w:val="0"/>
        <w:spacing w:before="38" w:beforeAutospacing="0" w:after="38" w:afterAutospacing="0"/>
        <w:ind w:left="0" w:right="0" w:firstLine="0"/>
        <w:jc w:val="left"/>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w:t>
      </w:r>
    </w:p>
    <w:p>
      <w:pPr>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思源黑体 CN Normal">
    <w:panose1 w:val="020B0400000000000000"/>
    <w:charset w:val="86"/>
    <w:family w:val="auto"/>
    <w:pitch w:val="default"/>
    <w:sig w:usb0="20000003" w:usb1="2ADF3C10" w:usb2="00000016" w:usb3="00000000" w:csb0="60060107" w:csb1="00000000"/>
  </w:font>
  <w:font w:name="新宋体">
    <w:panose1 w:val="02010609030101010101"/>
    <w:charset w:val="86"/>
    <w:family w:val="auto"/>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B6774"/>
    <w:rsid w:val="6CAB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2018-06-03T17:03:00Z</dcterms:created>
  <dc:creator>高清军</dc:creator>
  <cp:lastModifiedBy>高清军</cp:lastModifiedBy>
  <dcterms:modified xsi:type="dcterms:W3CDTF">2018-06-03T17:05:34Z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