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rPr>
      </w:pPr>
      <w:bookmarkStart w:id="0" w:name="_GoBack"/>
      <w:r>
        <w:rPr>
          <w:rFonts w:hint="eastAsia" w:ascii="仿宋_GB2312" w:hAnsi="仿宋_GB2312" w:eastAsia="仿宋_GB2312" w:cs="仿宋_GB2312"/>
          <w:b/>
          <w:bCs/>
          <w:sz w:val="28"/>
          <w:szCs w:val="28"/>
        </w:rPr>
        <w:t>关于破除科技评价中“唯论文”不良导向的若干措施（试行）</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为落实中共中央办公厅、国务院办公厅《关于深化项目评审、人才评价、机构评估改革的意见》《关于进一步弘扬科学家精神加强作风和学风建设的意见》要求，改进科技评价体系，破除国家科技计划项目、国家科技创新基地、中央级科研事业单位、国家科技奖励、创新人才推进计划等科技评价中过度看重论文数量多少、影响因子高低，忽视标志性成果的质量、贡献和影响等“唯论文”不良导向，按照分类评价、注重实效的原则，经商财政部，现提出如下措施。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一、强化分类考核评价导向。实施分类考核评价，注重标志性成果的质量、贡献和影响。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对于基础研究类科技活动，注重评价新发现、新观点、新原理、新机制等标志性成果的质量、贡献和影响。对论文评价实行代表作制度，根据科技活动特点，合理确定代表作数量，其中，国内科技期刊论文原则上应不少于1/3。强化代表作同行评议，实行定量评价与定性评价相结合，重点评价其学术价值及影响、与当次科技评价的相关性以及相关人员的贡献等，不把代表作的数量多少、影响因子高低作为量化考核评价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对于应用研究、技术开发类科技活动，注重评价新技术、新工艺、新产品、新材料、新设备，以及关键部件、实验装置/系统、应用解决方案、新诊疗方案、临床指南/规范、科学数据、科技报告、软件等标志性成果的质量、贡献和影响，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提高对高质量成果的考核评价权重。对于具有一定学术影响或取得实际应用效果的标志性成果可作为高质量成果，可增加到10%的权重；对于具有重要学术影响、对相关领域的科技创新具有带动作用的，可增加到30%的权重；对于已在实践中应用、对经济社会发展和国家安全作出重要贡献的，可增加到50%的权重。具体权重由相关科技评价组织管理单位（机构）根据实际情况确定。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鼓励发表高质量论文，包括发表在具有国际影响力的国内科技期刊、业界公认的国际顶级或重要科技期刊的论文，以及在国内外顶级学术会议上进行报告的论文（以下简称“三类高质量论文”）。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对于“三类高质量论文”的研究成果，可按高质量成果进行考核评价。发挥同行评议在高质量成果考核评价中的作用。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二、对国家科技计划项目（课题）评审评价突出创新质量和综合绩效。立项评审注重对项目（课题）可行性和先进性进行评价，综合绩效评价注重对项目（课题）合同约定标志性成果的质量和影响进行评价。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（四）对于应用研究、技术开发类项目（课题），不把论文作为申报指南、立项评审、综合绩效评价、随机抽查等的评价依据和考核指标，不得要求在申报书、任务书、年度报告等材料中填报论文发表情况。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对于基础研究类项目（课题），对论文评价实行代表作制度，代表作数量原则上不超过5篇。在申报书、任务书、年度报告等材料中，重点填报代表作对相关项目（课题）的支撑作用和相关性；在立项评审、综合绩效评价、随机抽查等环节，重点考核评价代表作的质量和应用情况。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三、对国家科技创新基地评估突出支撑服务能力。注重评估科技创新基地支撑服务国家重大需求、经济社会发展的作用和效果。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对于国家技术创新中心、国家临床医学研究中心等技术创新与成果转化类基地，注重评估对国家重大需求和工程建设的支撑作用、对重大临床需求和产业化需要的支撑保障作用。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（七）对于国家科技资源共享服务平台、国家野外科学观测研究站等基础支撑与条件保障类基地，注重评估对外服务的质量和效果。不把论文作为主要的评价依据和考核指标。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八）对于国家实验室、国家重点实验室等科学与工程研究类基地，注重评估原始创新能力、国际科学前沿竞争力、满足国家重大需求的能力等。对论文评价实行代表作制度，每个评价周期代表作数量原则上不超过20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四、对中央级科研事业单位绩效评价突出使命完成情况。注重评估科研机构履行国家使命和宗旨目标的情况，以及成果的学术价值和影响力。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（九）对于技术研发类机构，注重评估在成果转化、支撑产业发展等方面的绩效，不把论文作为主要的评价依据和考核指标。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（十）对于社会公益性研究类机构，注重评估公益性研究成果的绩效、履行社会责任的效果，不把论文作为主要的评价依据和考核指标。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（十一）对于基础研究类机构，注重评估代表性成果水平、国际学术影响、在经济社会发展和国家重大需求中的贡献等。对论文评价实行代表作制度，每个评价周期代表作数量原则上不超过40篇。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五、对国家科技奖励评审突出成果质量和贡献。注重评审相关科技成果的质量、效果和影响，以及相关人员的贡献。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（十二）对于自然科学奖，注重对成果的原创性、公认度和科学价值等进行评审。对论文评价实行代表作制度，代表作数量原则上不超过5篇。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（十三）对于技术发明奖、科技进步奖，注重对成果的创新性、先进性、应用价值和经济社会效益等进行评审，不把论文作为主要的评审依据。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（十四）最高科学技术奖、国际合作奖也要落实分类评价要求。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六、对创新人才推进计划人才评选突出科学精神、能力和业绩。注重评价学术道德水平以及在学科领域的活跃度和影响力、研发成果原创性、成果转化效益、科技服务满意度等。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（十五）对于科技创新创业人才，注重评价创业人才创办企业带动就业、产业科技含量及经济社会效益等，不把论文作为主要的评价依据和考核指标。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（十六）对于中青年科技创新领军人才，注重评价已取得核心成果的创新性和学术影响。对论文评价实行代表作制度，代表作数量原则上不超过5篇。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（十七）对于重点领域创新团队，注重评价团队协作创新能力，以及团队负责人的组织协调和领导力。对论文评价实行代表作制度，代表作数量原则上不超过10篇。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（十八）其它科技人才计划也要落实分类评价要求。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七、培育打造中国的高质量科技期刊。以培育世界一流的中国科技期刊为目标，推动中国科技期刊高质量发展，服务科技强国建设。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十九）加快实施中国科技期刊卓越行动计划，推进领军期刊建设，培育重点期刊、梯队期刊，鼓励创办高起点英文期刊，提高中文期刊英文摘要质量；建立中国特色、具有国际影响力的“科学引文索引”系统。鼓励财政资金资助的论文在高质量国内科技期刊发表。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（二十）完善学术期刊预警机制，定期发布国内和国际学术期刊的预警名单，并实行动态跟踪、及时调整。将管理和学术信誉差、商业利益至上的学术期刊，列入“黑名单”。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八、加强论文发表支出管理。建立与破除“唯论文”导向相适应的资金管理措施，从严控制论文资助范围、从紧管理论文发表支出。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一）对于国家科技计划项目产生的代表作和“三类高质量论文”，发表支出可在国家科技计划项目专项资金按规定据实列支，其它论文发表支出均不允许列支。对于单篇论文发表支出超过2万元人民币的，需经该论文通讯作者或第一作者所在单位学术委员会对论文发表的必要性审核通过后，方可在国家科技计划项目专项资金中列支。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二）对于发表在“黑名单”和预警名单学术期刊上的论文，相关的论文发表支出不得在国家科技计划项目专项资金中列支。不允许使用国家科技计划项目专项资金奖励论文发表，对于违反规定的，追回奖励资金和相关项目结余资金。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（二十三）在项目综合绩效评价过程中，项目管理机构应加强对在国家科技计划项目专项资金中列支论文发表情况的核验。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四）相关高校、科研院所等要对论文发表的必要性以及与项目研究的相关性进行审核；对于可能涉及国家安全和秘密等的论文，要从严审核、加强管理。不允许将论文发表数量、影响因子等与奖励奖金挂钩。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九、强化监督检查。加大监督检查力度，确保各项措施落实落地。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五）开展破除“唯论文”不良导向各项措施落实情况的监督检查。对落实不力、存在严重“唯论文”问题或存在奖励论文发表的相关高校、科研院所等，采取约谈、通报批评等方式予以处理并责令整改，整改期间暂停国家科技计划项目专项资金对该单位论文发表的资助。加强对咨询评审专家的培训引导，对项目评审中存在“唯论文”现象的，及时予以纠正。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（二十六）相关高校、科研院所要加强论文发表署名管理。《关于进一步弘扬科学家精神加强作风和学风建设的意见》发布后，对论文无实质学术贡献仍然“挂名”的，依规严肃追究责任。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（二十七）加大正面典型案例的宣传，树立正确的舆论导向。不允许过度宣传论文发表情况，不提倡将论文数量、影响因子作为宣传报道、工作总结、年度报告的重要内容。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90E4C"/>
    <w:rsid w:val="6AD9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2020-02-23T03:09:00Z</dcterms:created>
  <dc:creator>高清军</dc:creator>
  <cp:lastModifiedBy>高清军</cp:lastModifiedBy>
  <dcterms:modified xsi:type="dcterms:W3CDTF">2020-02-23T03:10:52Z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